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ackground w:color="C1E4F5" w:themeColor="accent1" w:themeTint="33"/>
  <w:body>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2842"/>
        <w:gridCol w:w="1844"/>
        <w:gridCol w:w="922"/>
        <w:gridCol w:w="922"/>
        <w:gridCol w:w="2831"/>
      </w:tblGrid>
      <w:tr w:rsidR="79A9AA17" w:rsidTr="79A9AA17" w14:paraId="7D4452FC">
        <w:trPr>
          <w:trHeight w:val="300"/>
        </w:trPr>
        <w:tc>
          <w:tcPr>
            <w:tcW w:w="2842" w:type="dxa"/>
            <w:tcBorders>
              <w:top w:val="nil"/>
              <w:left w:val="nil"/>
              <w:bottom w:val="nil"/>
              <w:right w:val="nil"/>
            </w:tcBorders>
            <w:tcMar>
              <w:left w:w="105" w:type="dxa"/>
              <w:right w:w="105" w:type="dxa"/>
            </w:tcMar>
            <w:vAlign w:val="center"/>
          </w:tcPr>
          <w:p w:rsidR="79A9AA17" w:rsidP="79A9AA17" w:rsidRDefault="79A9AA17" w14:paraId="45801B2B" w14:textId="6A4C4D74">
            <w:pPr>
              <w:rPr>
                <w:rFonts w:ascii="Euphemia" w:hAnsi="Euphemia" w:eastAsia="Euphemia" w:cs="Euphemia"/>
                <w:b w:val="0"/>
                <w:bCs w:val="0"/>
                <w:i w:val="0"/>
                <w:iCs w:val="0"/>
                <w:caps w:val="0"/>
                <w:smallCaps w:val="0"/>
                <w:color w:val="000000" w:themeColor="text1" w:themeTint="FF" w:themeShade="FF"/>
                <w:sz w:val="22"/>
                <w:szCs w:val="22"/>
              </w:rPr>
            </w:pPr>
            <w:r w:rsidRPr="79A9AA17" w:rsidR="79A9AA17">
              <w:rPr>
                <w:rFonts w:ascii="Euphemia" w:hAnsi="Euphemia" w:eastAsia="Euphemia" w:cs="Euphemia"/>
                <w:b w:val="0"/>
                <w:bCs w:val="0"/>
                <w:i w:val="0"/>
                <w:iCs w:val="0"/>
                <w:caps w:val="0"/>
                <w:smallCaps w:val="0"/>
                <w:color w:val="000000" w:themeColor="text1" w:themeTint="FF" w:themeShade="FF"/>
                <w:sz w:val="22"/>
                <w:szCs w:val="22"/>
                <w:lang w:val="en-US"/>
              </w:rPr>
              <w:t xml:space="preserve">  Friday </w:t>
            </w:r>
          </w:p>
        </w:tc>
        <w:tc>
          <w:tcPr>
            <w:tcW w:w="6519" w:type="dxa"/>
            <w:gridSpan w:val="4"/>
            <w:tcBorders>
              <w:top w:val="nil"/>
              <w:left w:val="nil"/>
              <w:bottom w:val="nil"/>
              <w:right w:val="nil"/>
            </w:tcBorders>
            <w:tcMar>
              <w:left w:w="105" w:type="dxa"/>
              <w:right w:w="105" w:type="dxa"/>
            </w:tcMar>
            <w:vAlign w:val="center"/>
          </w:tcPr>
          <w:p w:rsidR="79A9AA17" w:rsidP="79A9AA17" w:rsidRDefault="79A9AA17" w14:paraId="4639F3C6" w14:textId="7DA40533">
            <w:pPr>
              <w:jc w:val="center"/>
              <w:rPr>
                <w:rFonts w:ascii="Euphemia" w:hAnsi="Euphemia" w:eastAsia="Euphemia" w:cs="Euphemia"/>
                <w:b w:val="0"/>
                <w:bCs w:val="0"/>
                <w:i w:val="0"/>
                <w:iCs w:val="0"/>
                <w:caps w:val="0"/>
                <w:smallCaps w:val="0"/>
                <w:color w:val="000000" w:themeColor="text1" w:themeTint="FF" w:themeShade="FF"/>
                <w:sz w:val="22"/>
                <w:szCs w:val="22"/>
              </w:rPr>
            </w:pPr>
            <w:r w:rsidRPr="79A9AA17" w:rsidR="79A9AA17">
              <w:rPr>
                <w:rFonts w:ascii="Euphemia" w:hAnsi="Euphemia" w:eastAsia="Euphemia" w:cs="Euphemia"/>
                <w:b w:val="0"/>
                <w:bCs w:val="0"/>
                <w:i w:val="0"/>
                <w:iCs w:val="0"/>
                <w:caps w:val="0"/>
                <w:smallCaps w:val="0"/>
                <w:color w:val="000000" w:themeColor="text1" w:themeTint="FF" w:themeShade="FF"/>
                <w:sz w:val="22"/>
                <w:szCs w:val="22"/>
                <w:lang w:val="en-US"/>
              </w:rPr>
              <w:t xml:space="preserve">  October 3</w:t>
            </w:r>
            <w:r w:rsidRPr="79A9AA17" w:rsidR="79A9AA17">
              <w:rPr>
                <w:rFonts w:ascii="Euphemia" w:hAnsi="Euphemia" w:eastAsia="Euphemia" w:cs="Euphemia"/>
                <w:b w:val="0"/>
                <w:bCs w:val="0"/>
                <w:i w:val="0"/>
                <w:iCs w:val="0"/>
                <w:caps w:val="0"/>
                <w:smallCaps w:val="0"/>
                <w:color w:val="000000" w:themeColor="text1" w:themeTint="FF" w:themeShade="FF"/>
                <w:sz w:val="22"/>
                <w:szCs w:val="22"/>
                <w:vertAlign w:val="superscript"/>
                <w:lang w:val="en-US"/>
              </w:rPr>
              <w:t>rd</w:t>
            </w:r>
            <w:r w:rsidRPr="79A9AA17" w:rsidR="79A9AA17">
              <w:rPr>
                <w:rFonts w:ascii="Euphemia" w:hAnsi="Euphemia" w:eastAsia="Euphemia" w:cs="Euphemia"/>
                <w:b w:val="0"/>
                <w:bCs w:val="0"/>
                <w:i w:val="0"/>
                <w:iCs w:val="0"/>
                <w:caps w:val="0"/>
                <w:smallCaps w:val="0"/>
                <w:color w:val="000000" w:themeColor="text1" w:themeTint="FF" w:themeShade="FF"/>
                <w:sz w:val="22"/>
                <w:szCs w:val="22"/>
                <w:lang w:val="en-US"/>
              </w:rPr>
              <w:t xml:space="preserve"> 2025 </w:t>
            </w:r>
          </w:p>
        </w:tc>
      </w:tr>
      <w:tr w:rsidR="79A9AA17" w:rsidTr="79A9AA17" w14:paraId="78094C38">
        <w:trPr>
          <w:trHeight w:val="300"/>
        </w:trPr>
        <w:tc>
          <w:tcPr>
            <w:tcW w:w="9361" w:type="dxa"/>
            <w:gridSpan w:val="5"/>
            <w:tcBorders>
              <w:top w:val="nil"/>
              <w:left w:val="nil"/>
              <w:bottom w:val="nil"/>
              <w:right w:val="nil"/>
            </w:tcBorders>
            <w:tcMar>
              <w:left w:w="105" w:type="dxa"/>
              <w:right w:w="105" w:type="dxa"/>
            </w:tcMar>
            <w:vAlign w:val="center"/>
          </w:tcPr>
          <w:p w:rsidR="79A9AA17" w:rsidP="79A9AA17" w:rsidRDefault="79A9AA17" w14:paraId="3C93E051" w14:textId="7DB1A9AF">
            <w:pPr>
              <w:spacing w:after="0" w:line="240" w:lineRule="auto"/>
              <w:jc w:val="center"/>
              <w:rPr>
                <w:rFonts w:ascii="Sylfaen" w:hAnsi="Sylfaen" w:eastAsia="Sylfaen" w:cs="Sylfaen"/>
                <w:b w:val="1"/>
                <w:bCs w:val="1"/>
                <w:i w:val="0"/>
                <w:iCs w:val="0"/>
                <w:caps w:val="0"/>
                <w:smallCaps w:val="0"/>
                <w:color w:val="5F645C"/>
                <w:sz w:val="144"/>
                <w:szCs w:val="144"/>
              </w:rPr>
            </w:pPr>
            <w:r w:rsidRPr="79A9AA17" w:rsidR="79A9AA17">
              <w:rPr>
                <w:rFonts w:ascii="Sylfaen" w:hAnsi="Sylfaen" w:eastAsia="Sylfaen" w:cs="Sylfaen"/>
                <w:b w:val="1"/>
                <w:bCs w:val="1"/>
                <w:i w:val="0"/>
                <w:iCs w:val="0"/>
                <w:caps w:val="0"/>
                <w:smallCaps w:val="0"/>
                <w:color w:val="5F645C"/>
                <w:sz w:val="144"/>
                <w:szCs w:val="144"/>
                <w:lang w:val="en-US"/>
              </w:rPr>
              <w:t xml:space="preserve">  Legacy Of Learning </w:t>
            </w:r>
          </w:p>
        </w:tc>
      </w:tr>
      <w:tr w:rsidR="79A9AA17" w:rsidTr="79A9AA17" w14:paraId="678160C5">
        <w:trPr>
          <w:trHeight w:val="300"/>
        </w:trPr>
        <w:tc>
          <w:tcPr>
            <w:tcW w:w="2842" w:type="dxa"/>
            <w:tcBorders>
              <w:top w:val="nil"/>
              <w:left w:val="nil"/>
              <w:bottom w:val="single" w:color="5F645C" w:sz="6"/>
              <w:right w:val="nil"/>
            </w:tcBorders>
            <w:tcMar/>
            <w:vAlign w:val="center"/>
          </w:tcPr>
          <w:p w:rsidR="79A9AA17" w:rsidP="79A9AA17" w:rsidRDefault="79A9AA17" w14:paraId="5090775E" w14:textId="2CCFFF6D">
            <w:pPr>
              <w:rPr>
                <w:rFonts w:ascii="Sylfaen" w:hAnsi="Sylfaen" w:eastAsia="Sylfaen" w:cs="Sylfaen"/>
                <w:b w:val="0"/>
                <w:bCs w:val="0"/>
                <w:i w:val="0"/>
                <w:iCs w:val="0"/>
                <w:caps w:val="0"/>
                <w:smallCaps w:val="0"/>
                <w:color w:val="5F645C"/>
                <w:sz w:val="24"/>
                <w:szCs w:val="24"/>
              </w:rPr>
            </w:pPr>
          </w:p>
        </w:tc>
        <w:tc>
          <w:tcPr>
            <w:tcW w:w="6519" w:type="dxa"/>
            <w:gridSpan w:val="4"/>
            <w:vMerge w:val="restart"/>
            <w:tcBorders>
              <w:top w:val="nil"/>
              <w:left w:val="nil"/>
              <w:bottom w:val="nil"/>
              <w:right w:val="nil"/>
            </w:tcBorders>
            <w:tcMar>
              <w:left w:w="105" w:type="dxa"/>
              <w:right w:w="105" w:type="dxa"/>
            </w:tcMar>
            <w:vAlign w:val="center"/>
          </w:tcPr>
          <w:p w:rsidR="79A9AA17" w:rsidP="79A9AA17" w:rsidRDefault="79A9AA17" w14:paraId="3960957A" w14:textId="36A7221D">
            <w:pPr>
              <w:pStyle w:val="MastheadSubtitle"/>
              <w:spacing w:after="0" w:line="240" w:lineRule="auto"/>
              <w:jc w:val="center"/>
              <w:rPr>
                <w:rFonts w:ascii="Euphemia" w:hAnsi="Euphemia" w:eastAsia="Euphemia" w:cs="Euphemia"/>
                <w:b w:val="0"/>
                <w:bCs w:val="0"/>
                <w:i w:val="0"/>
                <w:iCs w:val="0"/>
                <w:caps w:val="0"/>
                <w:smallCaps w:val="0"/>
                <w:color w:val="5F645C"/>
                <w:sz w:val="28"/>
                <w:szCs w:val="28"/>
              </w:rPr>
            </w:pPr>
            <w:r w:rsidRPr="79A9AA17" w:rsidR="79A9AA17">
              <w:rPr>
                <w:rFonts w:ascii="Euphemia" w:hAnsi="Euphemia" w:eastAsia="Euphemia" w:cs="Euphemia"/>
                <w:b w:val="0"/>
                <w:bCs w:val="0"/>
                <w:i w:val="0"/>
                <w:iCs w:val="0"/>
                <w:caps w:val="0"/>
                <w:smallCaps w:val="0"/>
                <w:color w:val="5F645C"/>
                <w:sz w:val="28"/>
                <w:szCs w:val="28"/>
                <w:lang w:val="en-US"/>
              </w:rPr>
              <w:t xml:space="preserve">You can never know enough! </w:t>
            </w:r>
          </w:p>
        </w:tc>
      </w:tr>
      <w:tr w:rsidR="79A9AA17" w:rsidTr="79A9AA17" w14:paraId="189D680E">
        <w:trPr>
          <w:trHeight w:val="300"/>
        </w:trPr>
        <w:tc>
          <w:tcPr>
            <w:tcW w:w="2842" w:type="dxa"/>
            <w:tcBorders>
              <w:top w:val="single" w:color="5F645C" w:sz="6"/>
              <w:left w:val="nil"/>
              <w:bottom w:val="nil"/>
              <w:right w:val="nil"/>
            </w:tcBorders>
            <w:tcMar/>
            <w:vAlign w:val="center"/>
          </w:tcPr>
          <w:p w:rsidR="79A9AA17" w:rsidP="79A9AA17" w:rsidRDefault="79A9AA17" w14:paraId="338CC9EB" w14:textId="36E66AA0">
            <w:pPr>
              <w:rPr>
                <w:rFonts w:ascii="Sylfaen" w:hAnsi="Sylfaen" w:eastAsia="Sylfaen" w:cs="Sylfaen"/>
                <w:b w:val="0"/>
                <w:bCs w:val="0"/>
                <w:i w:val="0"/>
                <w:iCs w:val="0"/>
                <w:caps w:val="0"/>
                <w:smallCaps w:val="0"/>
                <w:color w:val="5F645C"/>
                <w:sz w:val="24"/>
                <w:szCs w:val="24"/>
              </w:rPr>
            </w:pPr>
          </w:p>
        </w:tc>
        <w:tc>
          <w:tcPr>
            <w:tcW w:w="6519" w:type="dxa"/>
            <w:gridSpan w:val="4"/>
            <w:vMerge/>
            <w:tcBorders>
              <w:top w:sz="0"/>
              <w:left w:val="nil" w:sz="0"/>
              <w:bottom w:sz="0"/>
              <w:right w:sz="0"/>
            </w:tcBorders>
            <w:tcMar/>
            <w:vAlign w:val="center"/>
          </w:tcPr>
          <w:p w14:paraId="09D88502"/>
        </w:tc>
      </w:tr>
      <w:tr w:rsidR="79A9AA17" w:rsidTr="79A9AA17" w14:paraId="644EDD36">
        <w:trPr>
          <w:trHeight w:val="300"/>
        </w:trPr>
        <w:tc>
          <w:tcPr>
            <w:tcW w:w="9361" w:type="dxa"/>
            <w:gridSpan w:val="5"/>
            <w:tcBorders>
              <w:top w:val="nil"/>
              <w:left w:val="nil"/>
              <w:bottom w:val="nil"/>
              <w:right w:val="nil"/>
            </w:tcBorders>
            <w:tcMar>
              <w:left w:w="105" w:type="dxa"/>
              <w:right w:w="105" w:type="dxa"/>
            </w:tcMar>
            <w:vAlign w:val="top"/>
          </w:tcPr>
          <w:p w:rsidR="79A9AA17" w:rsidP="79A9AA17" w:rsidRDefault="79A9AA17" w14:paraId="230A7146" w14:textId="3503499D">
            <w:pPr>
              <w:rPr>
                <w:rFonts w:ascii="Euphemia" w:hAnsi="Euphemia" w:eastAsia="Euphemia" w:cs="Euphemia"/>
                <w:b w:val="0"/>
                <w:bCs w:val="0"/>
                <w:i w:val="0"/>
                <w:iCs w:val="0"/>
                <w:caps w:val="0"/>
                <w:smallCaps w:val="0"/>
                <w:color w:val="000000" w:themeColor="text1" w:themeTint="FF" w:themeShade="FF"/>
                <w:sz w:val="22"/>
                <w:szCs w:val="22"/>
              </w:rPr>
            </w:pPr>
          </w:p>
        </w:tc>
      </w:tr>
      <w:tr w:rsidR="79A9AA17" w:rsidTr="79A9AA17" w14:paraId="2D6FC3A4">
        <w:trPr>
          <w:trHeight w:val="300"/>
        </w:trPr>
        <w:tc>
          <w:tcPr>
            <w:tcW w:w="5608" w:type="dxa"/>
            <w:gridSpan w:val="3"/>
            <w:tcBorders>
              <w:top w:val="nil"/>
              <w:left w:val="nil"/>
              <w:bottom w:val="nil"/>
              <w:right w:val="nil"/>
            </w:tcBorders>
            <w:tcMar/>
            <w:vAlign w:val="top"/>
          </w:tcPr>
          <w:p w:rsidR="79A9AA17" w:rsidP="79A9AA17" w:rsidRDefault="79A9AA17" w14:paraId="1A7BE1AA" w14:textId="2E4F5710">
            <w:pPr>
              <w:rPr>
                <w:rFonts w:ascii="Euphemia" w:hAnsi="Euphemia" w:eastAsia="Euphemia" w:cs="Euphemia"/>
                <w:b w:val="0"/>
                <w:bCs w:val="0"/>
                <w:i w:val="0"/>
                <w:iCs w:val="0"/>
                <w:caps w:val="0"/>
                <w:smallCaps w:val="0"/>
                <w:color w:val="000000" w:themeColor="text1" w:themeTint="FF" w:themeShade="FF"/>
                <w:sz w:val="22"/>
                <w:szCs w:val="22"/>
              </w:rPr>
            </w:pPr>
          </w:p>
        </w:tc>
        <w:tc>
          <w:tcPr>
            <w:tcW w:w="3753" w:type="dxa"/>
            <w:gridSpan w:val="2"/>
            <w:tcBorders>
              <w:top w:val="nil"/>
              <w:left w:val="nil"/>
              <w:bottom w:val="nil"/>
              <w:right w:val="nil"/>
            </w:tcBorders>
            <w:shd w:val="clear" w:color="auto" w:fill="E5E6E4"/>
            <w:tcMar>
              <w:top w:w="285" w:type="dxa"/>
              <w:left w:w="285" w:type="dxa"/>
              <w:right w:w="285" w:type="dxa"/>
            </w:tcMar>
            <w:vAlign w:val="top"/>
          </w:tcPr>
          <w:p w:rsidR="79A9AA17" w:rsidP="79A9AA17" w:rsidRDefault="79A9AA17" w14:paraId="68ED9ABF" w14:textId="3ACB36DB">
            <w:pPr>
              <w:spacing w:after="0" w:line="240" w:lineRule="auto"/>
              <w:rPr>
                <w:rFonts w:ascii="Euphemia" w:hAnsi="Euphemia" w:eastAsia="Euphemia" w:cs="Euphemia"/>
                <w:b w:val="0"/>
                <w:bCs w:val="0"/>
                <w:i w:val="0"/>
                <w:iCs w:val="0"/>
                <w:caps w:val="0"/>
                <w:smallCaps w:val="0"/>
                <w:color w:val="5F645C"/>
                <w:sz w:val="18"/>
                <w:szCs w:val="18"/>
              </w:rPr>
            </w:pPr>
          </w:p>
        </w:tc>
      </w:tr>
    </w:tbl>
    <w:p xmlns:wp14="http://schemas.microsoft.com/office/word/2010/wordml" wp14:paraId="2C078E63" wp14:textId="26011352"/>
    <w:tbl>
      <w:tblPr>
        <w:tblStyle w:val="TableGrid"/>
        <w:tblW w:w="0" w:type="auto"/>
        <w:tblLayout w:type="fixed"/>
        <w:tblLook w:val="06A0" w:firstRow="1" w:lastRow="0" w:firstColumn="1" w:lastColumn="0" w:noHBand="1" w:noVBand="1"/>
      </w:tblPr>
      <w:tblGrid>
        <w:gridCol w:w="9360"/>
      </w:tblGrid>
      <w:tr w:rsidR="79A9AA17" w:rsidTr="79A9AA17" w14:paraId="7DA56049">
        <w:trPr>
          <w:trHeight w:val="300"/>
        </w:trPr>
        <w:tc>
          <w:tcPr>
            <w:tcW w:w="9360" w:type="dxa"/>
            <w:tcMar/>
          </w:tcPr>
          <w:p w:rsidR="5C4B68C0" w:rsidP="79A9AA17" w:rsidRDefault="5C4B68C0" w14:paraId="72B4076A" w14:textId="49D6602F">
            <w:pPr>
              <w:pStyle w:val="Normal"/>
            </w:pPr>
            <w:r w:rsidR="5C4B68C0">
              <w:drawing>
                <wp:inline wp14:editId="5CE6712A" wp14:anchorId="2F24E671">
                  <wp:extent cx="5800725" cy="3257550"/>
                  <wp:effectExtent l="0" t="0" r="0" b="0"/>
                  <wp:docPr id="179907078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799070783"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844481009">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5800725" cy="3257550"/>
                          </a:xfrm>
                          <a:prstGeom xmlns:a="http://schemas.openxmlformats.org/drawingml/2006/main" prst="rect">
                            <a:avLst xmlns:a="http://schemas.openxmlformats.org/drawingml/2006/main"/>
                          </a:prstGeom>
                        </pic:spPr>
                      </pic:pic>
                    </a:graphicData>
                  </a:graphic>
                </wp:inline>
              </w:drawing>
            </w:r>
          </w:p>
        </w:tc>
      </w:tr>
      <w:tr w:rsidR="79A9AA17" w:rsidTr="79A9AA17" w14:paraId="3A7BF086">
        <w:trPr>
          <w:trHeight w:val="300"/>
        </w:trPr>
        <w:tc>
          <w:tcPr>
            <w:tcW w:w="9360" w:type="dxa"/>
            <w:tcMar/>
          </w:tcPr>
          <w:p w:rsidR="5C4B68C0" w:rsidP="79A9AA17" w:rsidRDefault="5C4B68C0" w14:paraId="16BE145A" w14:textId="5C1105B9">
            <w:pPr>
              <w:rPr>
                <w:rFonts w:ascii="Aptos" w:hAnsi="Aptos"/>
                <w:b w:val="0"/>
                <w:bCs w:val="0"/>
                <w:i w:val="0"/>
                <w:iCs w:val="0"/>
                <w:caps w:val="0"/>
                <w:smallCaps w:val="0"/>
                <w:noProof w:val="0"/>
                <w:sz w:val="24"/>
                <w:szCs w:val="24"/>
                <w:lang w:val="en-US"/>
              </w:rPr>
            </w:pPr>
            <w:r w:rsidRPr="79A9AA17" w:rsidR="5C4B68C0">
              <w:rPr>
                <w:rStyle w:val="BrownArticleTitle"/>
                <w:rFonts w:ascii="Aptos" w:hAnsi="Aptos"/>
                <w:b w:val="1"/>
                <w:bCs w:val="1"/>
                <w:i w:val="0"/>
                <w:iCs w:val="0"/>
                <w:caps w:val="0"/>
                <w:smallCaps w:val="0"/>
                <w:noProof w:val="0"/>
                <w:sz w:val="24"/>
                <w:szCs w:val="24"/>
                <w:lang w:val="en-US"/>
              </w:rPr>
              <w:t>SYMBOL “EYE”ZING</w:t>
            </w:r>
          </w:p>
          <w:p w:rsidR="5C4B68C0" w:rsidP="79A9AA17" w:rsidRDefault="5C4B68C0" w14:paraId="5B5DFA42" w14:textId="3D447416">
            <w:pPr>
              <w:rPr>
                <w:rFonts w:ascii="Aptos" w:hAnsi="Aptos"/>
                <w:b w:val="0"/>
                <w:bCs w:val="0"/>
                <w:i w:val="0"/>
                <w:iCs w:val="0"/>
                <w:caps w:val="0"/>
                <w:smallCaps w:val="0"/>
                <w:noProof w:val="0"/>
                <w:sz w:val="24"/>
                <w:szCs w:val="24"/>
                <w:lang w:val="en-US"/>
              </w:rPr>
            </w:pPr>
            <w:r w:rsidRPr="79A9AA17" w:rsidR="5C4B68C0">
              <w:rPr>
                <w:rStyle w:val="BrownArticleTitle"/>
                <w:rFonts w:ascii="Aptos" w:hAnsi="Aptos"/>
                <w:b w:val="1"/>
                <w:bCs w:val="1"/>
                <w:i w:val="0"/>
                <w:iCs w:val="0"/>
                <w:caps w:val="0"/>
                <w:smallCaps w:val="0"/>
                <w:noProof w:val="0"/>
                <w:sz w:val="24"/>
                <w:szCs w:val="24"/>
                <w:lang w:val="en-US"/>
              </w:rPr>
              <w:t>THROUGH CULTURE</w:t>
            </w:r>
          </w:p>
          <w:p w:rsidR="5C4B68C0" w:rsidP="79A9AA17" w:rsidRDefault="5C4B68C0" w14:paraId="22E85D17" w14:textId="13BBB3B4">
            <w:pPr>
              <w:rPr>
                <w:rFonts w:ascii="Aptos" w:hAnsi="Aptos"/>
                <w:b w:val="0"/>
                <w:bCs w:val="0"/>
                <w:i w:val="0"/>
                <w:iCs w:val="0"/>
                <w:caps w:val="0"/>
                <w:smallCaps w:val="0"/>
                <w:noProof w:val="0"/>
                <w:sz w:val="24"/>
                <w:szCs w:val="24"/>
                <w:lang w:val="en-US"/>
              </w:rPr>
            </w:pPr>
            <w:r w:rsidRPr="79A9AA17" w:rsidR="5C4B68C0">
              <w:rPr>
                <w:rStyle w:val="BrownAuthorName"/>
                <w:rFonts w:ascii="Aptos" w:hAnsi="Aptos"/>
                <w:b w:val="1"/>
                <w:bCs w:val="1"/>
                <w:i w:val="0"/>
                <w:iCs w:val="0"/>
                <w:caps w:val="1"/>
                <w:noProof w:val="0"/>
                <w:sz w:val="24"/>
                <w:szCs w:val="24"/>
                <w:lang w:val="en-US"/>
              </w:rPr>
              <w:t>HUY N.</w:t>
            </w:r>
          </w:p>
          <w:p w:rsidR="5C4B68C0" w:rsidP="79A9AA17" w:rsidRDefault="5C4B68C0" w14:paraId="68E7CFA2" w14:textId="71FEFEAF">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“Beauty is in the eye of the beholder”</w:t>
            </w:r>
          </w:p>
          <w:p w:rsidR="5C4B68C0" w:rsidP="79A9AA17" w:rsidRDefault="5C4B68C0" w14:paraId="23117BDF" w14:textId="46681195">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-Margaret Wolfe Hungerford</w:t>
            </w:r>
          </w:p>
          <w:p w:rsidR="79A9AA17" w:rsidP="79A9AA17" w:rsidRDefault="79A9AA17" w14:paraId="54A1427A" w14:textId="1B37118E">
            <w:pPr>
              <w:rPr>
                <w:rFonts w:ascii="Aptos" w:hAnsi="Aptos"/>
                <w:b w:val="0"/>
                <w:bCs w:val="0"/>
                <w:i w:val="0"/>
                <w:iCs w:val="0"/>
                <w:caps w:val="0"/>
                <w:smallCaps w:val="0"/>
                <w:noProof w:val="0"/>
                <w:sz w:val="24"/>
                <w:szCs w:val="24"/>
                <w:lang w:val="en-US"/>
              </w:rPr>
            </w:pPr>
          </w:p>
          <w:p w:rsidR="5C4B68C0" w:rsidP="79A9AA17" w:rsidRDefault="5C4B68C0" w14:paraId="42D5C209" w14:textId="7D016430">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Beyond just helping many people process information, eyes also have other associations with meaning.</w:t>
            </w:r>
          </w:p>
          <w:p w:rsidR="5C4B68C0" w:rsidP="79A9AA17" w:rsidRDefault="5C4B68C0" w14:paraId="758D72D3" w14:textId="685CEADD">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Some examples include:</w:t>
            </w:r>
          </w:p>
          <w:p w:rsidR="79A9AA17" w:rsidP="79A9AA17" w:rsidRDefault="79A9AA17" w14:paraId="74E7820B" w14:textId="369C89A9">
            <w:pPr>
              <w:rPr>
                <w:rFonts w:ascii="Aptos" w:hAnsi="Aptos"/>
                <w:b w:val="0"/>
                <w:bCs w:val="0"/>
                <w:i w:val="0"/>
                <w:iCs w:val="0"/>
                <w:caps w:val="0"/>
                <w:smallCaps w:val="0"/>
                <w:noProof w:val="0"/>
                <w:sz w:val="24"/>
                <w:szCs w:val="24"/>
                <w:lang w:val="en-US"/>
              </w:rPr>
            </w:pPr>
          </w:p>
          <w:p w:rsidR="5C4B68C0" w:rsidP="79A9AA17" w:rsidRDefault="5C4B68C0" w14:paraId="7DD2D21E" w14:textId="336E56B6">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The Evil Eye 🧿is believed to be able to harm someone just because the holder is gazing at them. The Hamsa hand 🪬 is also believed to be a ward against The Evil Eye when the hand is given an eye like in the picture shown (Decoding the Eye: Signs &amp; Symbols, 2024).</w:t>
            </w:r>
          </w:p>
          <w:p w:rsidR="79A9AA17" w:rsidP="79A9AA17" w:rsidRDefault="79A9AA17" w14:paraId="6EF0F0CD" w14:textId="7370AF19">
            <w:pPr>
              <w:rPr>
                <w:rFonts w:ascii="Aptos" w:hAnsi="Aptos"/>
                <w:b w:val="0"/>
                <w:bCs w:val="0"/>
                <w:i w:val="0"/>
                <w:iCs w:val="0"/>
                <w:caps w:val="0"/>
                <w:smallCaps w:val="0"/>
                <w:noProof w:val="0"/>
                <w:sz w:val="24"/>
                <w:szCs w:val="24"/>
                <w:lang w:val="en-US"/>
              </w:rPr>
            </w:pPr>
          </w:p>
          <w:p w:rsidR="5C4B68C0" w:rsidP="79A9AA17" w:rsidRDefault="5C4B68C0" w14:paraId="63876788" w14:textId="6E65E7A9">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The Eye of God (Osiris) is also associated with divine protection, watchfulness, and support. Variations of The Eye of God can also be found on US Bank Notes. (Decoding the Eye: Signs &amp; Symbols, 2024).</w:t>
            </w:r>
          </w:p>
          <w:p w:rsidR="79A9AA17" w:rsidP="79A9AA17" w:rsidRDefault="79A9AA17" w14:paraId="4CA49E7E" w14:textId="17ADF571">
            <w:pPr>
              <w:rPr>
                <w:rFonts w:ascii="Aptos" w:hAnsi="Aptos"/>
                <w:b w:val="0"/>
                <w:bCs w:val="0"/>
                <w:i w:val="0"/>
                <w:iCs w:val="0"/>
                <w:caps w:val="0"/>
                <w:smallCaps w:val="0"/>
                <w:noProof w:val="0"/>
                <w:sz w:val="24"/>
                <w:szCs w:val="24"/>
                <w:lang w:val="en-US"/>
              </w:rPr>
            </w:pPr>
          </w:p>
          <w:p w:rsidR="5C4B68C0" w:rsidP="79A9AA17" w:rsidRDefault="5C4B68C0" w14:paraId="0B9301C3" w14:textId="547ED549">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Other than representing cultural meanings, eyes are also known as the window to the soul because you can learn a lot about how someone presents their eyes (Ludden, 2015). For example, when you are trying to interpret if someone’s smile is really genuine, you can look at their eyes to see if they they are truly happy (Ludden, 2015). Like if their eyes look off, wrinkled or perhaps even flat. (Ludden, 2015) (McKie, 2018)</w:t>
            </w:r>
          </w:p>
          <w:p w:rsidR="79A9AA17" w:rsidP="79A9AA17" w:rsidRDefault="79A9AA17" w14:paraId="6C1AEA54" w14:textId="0106414E">
            <w:pPr>
              <w:rPr>
                <w:rFonts w:ascii="Aptos" w:hAnsi="Aptos"/>
                <w:b w:val="0"/>
                <w:bCs w:val="0"/>
                <w:i w:val="0"/>
                <w:iCs w:val="0"/>
                <w:caps w:val="0"/>
                <w:smallCaps w:val="0"/>
                <w:noProof w:val="0"/>
                <w:sz w:val="24"/>
                <w:szCs w:val="24"/>
                <w:lang w:val="en-US"/>
              </w:rPr>
            </w:pPr>
          </w:p>
          <w:p w:rsidR="5C4B68C0" w:rsidP="79A9AA17" w:rsidRDefault="5C4B68C0" w14:paraId="316EB6D5" w14:textId="43980419">
            <w:pPr>
              <w:pStyle w:val="Normal"/>
              <w:rPr>
                <w:rFonts w:ascii="Aptos" w:hAnsi="Aptos"/>
                <w:b w:val="0"/>
                <w:bCs w:val="0"/>
                <w:i w:val="0"/>
                <w:iCs w:val="0"/>
                <w:caps w:val="0"/>
                <w:smallCaps w:val="0"/>
                <w:noProof w:val="0"/>
                <w:sz w:val="24"/>
                <w:szCs w:val="24"/>
                <w:lang w:val="en-US"/>
              </w:rPr>
            </w:pPr>
            <w:r w:rsidRPr="79A9AA17" w:rsidR="5C4B68C0">
              <w:rPr>
                <w:rFonts w:ascii="Aptos" w:hAnsi="Aptos"/>
                <w:b w:val="0"/>
                <w:bCs w:val="0"/>
                <w:i w:val="0"/>
                <w:iCs w:val="0"/>
                <w:caps w:val="0"/>
                <w:smallCaps w:val="0"/>
                <w:noProof w:val="0"/>
                <w:sz w:val="24"/>
                <w:szCs w:val="24"/>
                <w:lang w:val="en-US"/>
              </w:rPr>
              <w:t>To sum up, eyes are an important part of cultures because they help people see, represent beliefs that people have formed over time and help us understand each other more than we would do without them.</w:t>
            </w:r>
          </w:p>
          <w:p w:rsidR="79A9AA17" w:rsidP="79A9AA17" w:rsidRDefault="79A9AA17" w14:paraId="7DAF986A" w14:textId="0AB6068E">
            <w:pPr>
              <w:pStyle w:val="Normal"/>
            </w:pPr>
          </w:p>
        </w:tc>
      </w:tr>
    </w:tbl>
    <w:p w:rsidR="79A9AA17" w:rsidRDefault="79A9AA17" w14:paraId="5C7B8153" w14:textId="05381E8B"/>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5658"/>
        <w:gridCol w:w="2832"/>
        <w:gridCol w:w="345"/>
      </w:tblGrid>
      <w:tr w:rsidR="79A9AA17" w:rsidTr="79A9AA17" w14:paraId="4C47F47B">
        <w:trPr>
          <w:trHeight w:val="300"/>
        </w:trPr>
        <w:tc>
          <w:tcPr>
            <w:tcW w:w="8835" w:type="dxa"/>
            <w:gridSpan w:val="3"/>
            <w:tcBorders>
              <w:top w:val="single" w:color="8A7760" w:sz="6"/>
              <w:left w:val="nil"/>
              <w:bottom w:val="nil"/>
              <w:right w:val="nil"/>
            </w:tcBorders>
            <w:tcMar>
              <w:left w:w="105" w:type="dxa"/>
              <w:bottom w:w="210" w:type="dxa"/>
              <w:right w:w="105" w:type="dxa"/>
            </w:tcMar>
            <w:vAlign w:val="bottom"/>
          </w:tcPr>
          <w:p w:rsidR="79A9AA17" w:rsidP="79A9AA17" w:rsidRDefault="79A9AA17" w14:paraId="5C284E51" w14:textId="6A626408">
            <w:pPr>
              <w:rPr>
                <w:rFonts w:ascii="Sylfaen" w:hAnsi="Sylfaen" w:eastAsia="Sylfaen" w:cs="Sylfaen"/>
                <w:b w:val="0"/>
                <w:bCs w:val="0"/>
                <w:i w:val="0"/>
                <w:iCs w:val="0"/>
                <w:caps w:val="0"/>
                <w:smallCaps w:val="0"/>
                <w:color w:val="8A7760"/>
                <w:sz w:val="40"/>
                <w:szCs w:val="40"/>
              </w:rPr>
            </w:pPr>
            <w:r w:rsidRPr="79A9AA17" w:rsidR="79A9AA17">
              <w:rPr>
                <w:rFonts w:ascii="Sylfaen" w:hAnsi="Sylfaen" w:eastAsia="Sylfaen" w:cs="Sylfaen"/>
                <w:b w:val="1"/>
                <w:bCs w:val="1"/>
                <w:i w:val="0"/>
                <w:iCs w:val="0"/>
                <w:caps w:val="0"/>
                <w:smallCaps w:val="0"/>
                <w:color w:val="8A7760"/>
                <w:sz w:val="40"/>
                <w:szCs w:val="40"/>
                <w:lang w:val="en-US"/>
              </w:rPr>
              <w:t xml:space="preserve">  </w:t>
            </w:r>
            <w:r w:rsidRPr="79A9AA17" w:rsidR="79A9AA17">
              <w:rPr>
                <w:rStyle w:val="BrownArticleTitle"/>
                <w:rFonts w:ascii="Sylfaen" w:hAnsi="Sylfaen" w:eastAsia="Sylfaen" w:cs="Sylfaen"/>
                <w:b w:val="1"/>
                <w:bCs w:val="1"/>
                <w:i w:val="0"/>
                <w:iCs w:val="0"/>
                <w:caps w:val="0"/>
                <w:smallCaps w:val="0"/>
                <w:color w:val="8A7760"/>
                <w:sz w:val="40"/>
                <w:szCs w:val="40"/>
                <w:lang w:val="en-US"/>
              </w:rPr>
              <w:t>The Calculator: A Tool for Critical</w:t>
            </w:r>
          </w:p>
          <w:p w:rsidR="79A9AA17" w:rsidP="79A9AA17" w:rsidRDefault="79A9AA17" w14:paraId="7E2D580D" w14:textId="58B6A083">
            <w:pPr>
              <w:rPr>
                <w:rFonts w:ascii="Sylfaen" w:hAnsi="Sylfaen" w:eastAsia="Sylfaen" w:cs="Sylfaen"/>
                <w:b w:val="0"/>
                <w:bCs w:val="0"/>
                <w:i w:val="0"/>
                <w:iCs w:val="0"/>
                <w:caps w:val="0"/>
                <w:smallCaps w:val="0"/>
                <w:color w:val="8A7760"/>
                <w:sz w:val="40"/>
                <w:szCs w:val="40"/>
              </w:rPr>
            </w:pPr>
            <w:r w:rsidRPr="79A9AA17" w:rsidR="79A9AA17">
              <w:rPr>
                <w:rFonts w:ascii="Sylfaen" w:hAnsi="Sylfaen" w:eastAsia="Sylfaen" w:cs="Sylfaen"/>
                <w:b w:val="1"/>
                <w:bCs w:val="1"/>
                <w:i w:val="0"/>
                <w:iCs w:val="0"/>
                <w:caps w:val="0"/>
                <w:smallCaps w:val="0"/>
                <w:color w:val="8A7760"/>
                <w:sz w:val="40"/>
                <w:szCs w:val="40"/>
                <w:lang w:val="en-US"/>
              </w:rPr>
              <w:t xml:space="preserve"> </w:t>
            </w:r>
            <w:r w:rsidRPr="79A9AA17" w:rsidR="79A9AA17">
              <w:rPr>
                <w:rStyle w:val="BrownArticleTitle"/>
                <w:rFonts w:ascii="Sylfaen" w:hAnsi="Sylfaen" w:eastAsia="Sylfaen" w:cs="Sylfaen"/>
                <w:b w:val="1"/>
                <w:bCs w:val="1"/>
                <w:i w:val="0"/>
                <w:iCs w:val="0"/>
                <w:caps w:val="0"/>
                <w:smallCaps w:val="0"/>
                <w:color w:val="8A7760"/>
                <w:sz w:val="40"/>
                <w:szCs w:val="40"/>
                <w:lang w:val="en-US"/>
              </w:rPr>
              <w:t>Thinking, Not Just Computation</w:t>
            </w:r>
            <w:r w:rsidRPr="79A9AA17" w:rsidR="79A9AA17">
              <w:rPr>
                <w:rFonts w:ascii="Sylfaen" w:hAnsi="Sylfaen" w:eastAsia="Sylfaen" w:cs="Sylfaen"/>
                <w:b w:val="1"/>
                <w:bCs w:val="1"/>
                <w:i w:val="0"/>
                <w:iCs w:val="0"/>
                <w:caps w:val="0"/>
                <w:smallCaps w:val="0"/>
                <w:color w:val="8A7760"/>
                <w:sz w:val="40"/>
                <w:szCs w:val="40"/>
                <w:lang w:val="en-US"/>
              </w:rPr>
              <w:t xml:space="preserve"> </w:t>
            </w:r>
          </w:p>
          <w:p w:rsidR="79A9AA17" w:rsidP="79A9AA17" w:rsidRDefault="79A9AA17" w14:paraId="454C946C" w14:textId="5FB5C64E">
            <w:pPr>
              <w:rPr>
                <w:rFonts w:ascii="Sylfaen" w:hAnsi="Sylfaen" w:eastAsia="Sylfaen" w:cs="Sylfaen"/>
                <w:b w:val="0"/>
                <w:bCs w:val="0"/>
                <w:i w:val="0"/>
                <w:iCs w:val="0"/>
                <w:caps w:val="0"/>
                <w:smallCaps w:val="0"/>
                <w:color w:val="8A7760"/>
                <w:sz w:val="32"/>
                <w:szCs w:val="32"/>
              </w:rPr>
            </w:pPr>
            <w:r w:rsidRPr="79A9AA17" w:rsidR="79A9AA17">
              <w:rPr>
                <w:rFonts w:ascii="Sylfaen" w:hAnsi="Sylfaen" w:eastAsia="Sylfaen" w:cs="Sylfaen"/>
                <w:b w:val="0"/>
                <w:bCs w:val="0"/>
                <w:i w:val="0"/>
                <w:iCs w:val="0"/>
                <w:caps w:val="0"/>
                <w:smallCaps w:val="0"/>
                <w:color w:val="8A7760"/>
                <w:sz w:val="32"/>
                <w:szCs w:val="32"/>
                <w:lang w:val="en-US"/>
              </w:rPr>
              <w:t xml:space="preserve">  </w:t>
            </w:r>
            <w:r w:rsidRPr="79A9AA17" w:rsidR="79A9AA17">
              <w:rPr>
                <w:rStyle w:val="BrownArticleSubtitle"/>
                <w:rFonts w:ascii="Sylfaen" w:hAnsi="Sylfaen" w:eastAsia="Sylfaen" w:cs="Sylfaen"/>
                <w:b w:val="0"/>
                <w:bCs w:val="0"/>
                <w:i w:val="0"/>
                <w:iCs w:val="0"/>
                <w:caps w:val="0"/>
                <w:smallCaps w:val="0"/>
                <w:color w:val="8A7760"/>
                <w:sz w:val="32"/>
                <w:szCs w:val="32"/>
                <w:lang w:val="en-US"/>
              </w:rPr>
              <w:t xml:space="preserve">Jameson Atwell </w:t>
            </w:r>
            <w:r w:rsidRPr="79A9AA17" w:rsidR="79A9AA17">
              <w:rPr>
                <w:rFonts w:ascii="Sylfaen" w:hAnsi="Sylfaen" w:eastAsia="Sylfaen" w:cs="Sylfaen"/>
                <w:b w:val="0"/>
                <w:bCs w:val="0"/>
                <w:i w:val="0"/>
                <w:iCs w:val="0"/>
                <w:caps w:val="0"/>
                <w:smallCaps w:val="0"/>
                <w:color w:val="8A7760"/>
                <w:sz w:val="32"/>
                <w:szCs w:val="32"/>
                <w:lang w:val="en-US"/>
              </w:rPr>
              <w:t xml:space="preserve"> </w:t>
            </w:r>
          </w:p>
        </w:tc>
      </w:tr>
      <w:tr w:rsidR="79A9AA17" w:rsidTr="79A9AA17" w14:paraId="409FCC6C">
        <w:trPr>
          <w:trHeight w:val="300"/>
        </w:trPr>
        <w:tc>
          <w:tcPr>
            <w:tcW w:w="8490" w:type="dxa"/>
            <w:gridSpan w:val="2"/>
            <w:tcBorders>
              <w:top w:val="nil" w:color="8A7760" w:sz="6"/>
              <w:left w:val="nil"/>
              <w:bottom w:val="single" w:color="8A7760" w:sz="6"/>
              <w:right w:val="nil"/>
            </w:tcBorders>
            <w:tcMar>
              <w:left w:w="105" w:type="dxa"/>
              <w:bottom w:w="285" w:type="dxa"/>
              <w:right w:w="105" w:type="dxa"/>
            </w:tcMar>
            <w:vAlign w:val="top"/>
          </w:tcPr>
          <w:p w:rsidR="79A9AA17" w:rsidP="79A9AA17" w:rsidRDefault="79A9AA17" w14:paraId="41035136" w14:textId="09FB705A">
            <w:pPr>
              <w:spacing w:after="0" w:line="240" w:lineRule="auto"/>
              <w:rPr>
                <w:rFonts w:ascii="Euphemia" w:hAnsi="Euphemia" w:eastAsia="Euphemia" w:cs="Euphemia"/>
                <w:b w:val="0"/>
                <w:bCs w:val="0"/>
                <w:i w:val="0"/>
                <w:iCs w:val="0"/>
                <w:caps w:val="0"/>
                <w:smallCaps w:val="0"/>
                <w:color w:val="8A7760"/>
                <w:sz w:val="22"/>
                <w:szCs w:val="22"/>
              </w:rPr>
            </w:pPr>
          </w:p>
        </w:tc>
        <w:tc>
          <w:tcPr>
            <w:tcW w:w="345" w:type="dxa"/>
            <w:tcBorders>
              <w:top w:val="nil" w:color="8A7760" w:sz="6"/>
              <w:left w:val="nil"/>
              <w:bottom w:val="single" w:color="8A7760" w:sz="6"/>
              <w:right w:val="nil"/>
            </w:tcBorders>
            <w:tcMar>
              <w:left w:w="105" w:type="dxa"/>
              <w:right w:w="105" w:type="dxa"/>
            </w:tcMar>
            <w:vAlign w:val="top"/>
          </w:tcPr>
          <w:p w:rsidR="79A9AA17" w:rsidP="79A9AA17" w:rsidRDefault="79A9AA17" w14:paraId="034F2082" w14:textId="71CD943F">
            <w:pPr>
              <w:rPr>
                <w:rFonts w:ascii="Euphemia" w:hAnsi="Euphemia" w:eastAsia="Euphemia" w:cs="Euphemia"/>
                <w:b w:val="0"/>
                <w:bCs w:val="0"/>
                <w:i w:val="0"/>
                <w:iCs w:val="0"/>
                <w:caps w:val="0"/>
                <w:smallCaps w:val="0"/>
                <w:color w:val="000000" w:themeColor="text1" w:themeTint="FF" w:themeShade="FF"/>
                <w:sz w:val="22"/>
                <w:szCs w:val="22"/>
              </w:rPr>
            </w:pPr>
          </w:p>
        </w:tc>
      </w:tr>
      <w:tr w:rsidR="79A9AA17" w:rsidTr="79A9AA17" w14:paraId="05EC8C13">
        <w:trPr>
          <w:trHeight w:val="300"/>
        </w:trPr>
        <w:tc>
          <w:tcPr>
            <w:tcW w:w="8835" w:type="dxa"/>
            <w:gridSpan w:val="3"/>
            <w:tcBorders>
              <w:top w:val="single" w:color="8A7760" w:sz="6"/>
              <w:left w:val="nil"/>
              <w:bottom w:val="nil" w:color="8A7760" w:sz="6"/>
              <w:right w:val="nil"/>
            </w:tcBorders>
            <w:tcMar>
              <w:left w:w="105" w:type="dxa"/>
              <w:bottom w:w="210" w:type="dxa"/>
              <w:right w:w="105" w:type="dxa"/>
            </w:tcMar>
            <w:vAlign w:val="bottom"/>
          </w:tcPr>
          <w:p w:rsidR="79A9AA17" w:rsidP="79A9AA17" w:rsidRDefault="79A9AA17" w14:paraId="186589BA" w14:textId="06063774">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The human need to count and measure goes way back, from using counting stones to the microchips we</w:t>
            </w:r>
          </w:p>
          <w:p w:rsidR="79A9AA17" w:rsidP="79A9AA17" w:rsidRDefault="79A9AA17" w14:paraId="0984ED0D" w14:textId="10234055">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have today. The calculator, which seems pretty simple, is the result of hundreds of years of cool ideas,</w:t>
            </w:r>
          </w:p>
          <w:p w:rsidR="79A9AA17" w:rsidP="79A9AA17" w:rsidRDefault="79A9AA17" w14:paraId="7E144B5D" w14:textId="3B5C26FB">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starting with basic tools like the abacus and the mechanical Pascaline. Even though putting it into the</w:t>
            </w:r>
          </w:p>
          <w:p w:rsidR="79A9AA17" w:rsidP="79A9AA17" w:rsidRDefault="79A9AA17" w14:paraId="5450F581" w14:textId="094E8FFB">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modern classroom started a big controversy years ago, the calculator isn&amp;#39;t just a shortcut. It&amp;#39;s actually a</w:t>
            </w:r>
          </w:p>
          <w:p w:rsidR="79A9AA17" w:rsidP="79A9AA17" w:rsidRDefault="79A9AA17" w14:paraId="16273CF7" w14:textId="26DAA248">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super important tool that helps us do deeper critical thinking and explore tough ideas.</w:t>
            </w:r>
          </w:p>
          <w:p w:rsidR="79A9AA17" w:rsidP="79A9AA17" w:rsidRDefault="79A9AA17" w14:paraId="77C43C84" w14:textId="54A77799">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The calculator started with early mechanical devices. Back in the 17th century, Blaise Pascal’s Pascaline</w:t>
            </w:r>
          </w:p>
          <w:p w:rsidR="79A9AA17" w:rsidP="79A9AA17" w:rsidRDefault="79A9AA17" w14:paraId="5996071D" w14:textId="7C290C93">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gave us the main rules for mechanical adding and subtracting. Later on,</w:t>
            </w:r>
          </w:p>
          <w:p w:rsidR="79A9AA17" w:rsidP="79A9AA17" w:rsidRDefault="79A9AA17" w14:paraId="35DDA8D5" w14:textId="0796BEB3">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Gottfried Wilhelm Leibniz made it better with his “stepped reckoner,” which</w:t>
            </w:r>
          </w:p>
          <w:p w:rsidR="79A9AA17" w:rsidP="79A9AA17" w:rsidRDefault="79A9AA17" w14:paraId="3F4101C7" w14:textId="6BE4A878">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could also multiply and divide. These old machines were pretty rare, but the</w:t>
            </w:r>
          </w:p>
          <w:p w:rsidR="79A9AA17" w:rsidP="79A9AA17" w:rsidRDefault="79A9AA17" w14:paraId="16D9A522" w14:textId="45F5C17E">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huge change happened in the late 1960s and early 1970s with the invention of</w:t>
            </w:r>
          </w:p>
          <w:p w:rsidR="79A9AA17" w:rsidP="79A9AA17" w:rsidRDefault="79A9AA17" w14:paraId="357E6365" w14:textId="113A2725">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the integrated circuit. Companies like Texas Instruments (TI) and Hewlett-</w:t>
            </w:r>
          </w:p>
          <w:p w:rsidR="79A9AA17" w:rsidP="79A9AA17" w:rsidRDefault="79A9AA17" w14:paraId="4919200B" w14:textId="3437FF4C">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Packard (HP) made the complex parts tiny, creating handheld devices like</w:t>
            </w:r>
          </w:p>
          <w:p w:rsidR="79A9AA17" w:rsidP="79A9AA17" w:rsidRDefault="79A9AA17" w14:paraId="303185B9" w14:textId="53C56FC4">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the 1972 HP−35, the world&amp;#39;s first scientific calculator (Smith 42). This fast</w:t>
            </w:r>
          </w:p>
          <w:p w:rsidR="79A9AA17" w:rsidP="79A9AA17" w:rsidRDefault="79A9AA17" w14:paraId="2EF51C5B" w14:textId="1893AE88">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jump in tech changed calculation from being a hard, mistake-filled task</w:t>
            </w:r>
          </w:p>
          <w:p w:rsidR="79A9AA17" w:rsidP="79A9AA17" w:rsidRDefault="79A9AA17" w14:paraId="24C612EB" w14:textId="1C3E7A66">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into something that happens right away, making it totally necessary for</w:t>
            </w:r>
          </w:p>
          <w:p w:rsidR="79A9AA17" w:rsidP="79A9AA17" w:rsidRDefault="79A9AA17" w14:paraId="36A0B635" w14:textId="7D4BEC27">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schools to adopt it.</w:t>
            </w:r>
          </w:p>
          <w:p w:rsidR="79A9AA17" w:rsidP="79A9AA17" w:rsidRDefault="79A9AA17" w14:paraId="13287E97" w14:textId="5D186BB8">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Having rapid computation suddenly available started a big argument called the “calculator wars” in</w:t>
            </w:r>
          </w:p>
          <w:p w:rsidR="79A9AA17" w:rsidP="79A9AA17" w:rsidRDefault="79A9AA17" w14:paraId="43EFD5FA" w14:textId="25EFD152">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education during the 1970s and 1980s. People who disliked it were worried that students would rely too</w:t>
            </w:r>
          </w:p>
          <w:p w:rsidR="79A9AA17" w:rsidP="79A9AA17" w:rsidRDefault="79A9AA17" w14:paraId="5AA4852D" w14:textId="0DDCAEF5">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much on the device and forget basic math skills, turning them into button-pushers who couldn&amp;#39;t even add</w:t>
            </w:r>
          </w:p>
          <w:p w:rsidR="79A9AA17" w:rsidP="79A9AA17" w:rsidRDefault="79A9AA17" w14:paraId="540DA044" w14:textId="1500288E">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simple numbers. But people who supported it argued that the calculator freed students from the boring,</w:t>
            </w:r>
          </w:p>
          <w:p w:rsidR="79A9AA17" w:rsidP="79A9AA17" w:rsidRDefault="79A9AA17" w14:paraId="1C52E592" w14:textId="19637235">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repetitive calculations (Jones par. 3). Instead of using valuable class time manually figuring out square</w:t>
            </w:r>
          </w:p>
          <w:p w:rsidR="79A9AA17" w:rsidP="79A9AA17" w:rsidRDefault="79A9AA17" w14:paraId="53CE2666" w14:textId="55F178AB">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roots or long division problems, students could use their brain power to figure out data, build models, and</w:t>
            </w:r>
          </w:p>
          <w:p w:rsidR="79A9AA17" w:rsidP="79A9AA17" w:rsidRDefault="79A9AA17" w14:paraId="31D04698" w14:textId="388C6A5F">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solve complex, real-world problems with many steps. This meant the curriculum could focus on the</w:t>
            </w:r>
          </w:p>
          <w:p w:rsidR="79A9AA17" w:rsidP="79A9AA17" w:rsidRDefault="79A9AA17" w14:paraId="528F9FF1" w14:textId="1809697D">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“why” and “what” of math instead of just the “how.”</w:t>
            </w:r>
          </w:p>
          <w:p w:rsidR="79A9AA17" w:rsidP="79A9AA17" w:rsidRDefault="79A9AA17" w14:paraId="798E6A55" w14:textId="515133C3">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Today, the calculator does way more than just simple arithmetic. The</w:t>
            </w:r>
          </w:p>
          <w:p w:rsidR="79A9AA17" w:rsidP="79A9AA17" w:rsidRDefault="79A9AA17" w14:paraId="2161C6DD" w14:textId="74002543">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modern graphing calculator, like the TI−84 or TI−Nspire, is a dynamic</w:t>
            </w:r>
          </w:p>
          <w:p w:rsidR="79A9AA17" w:rsidP="79A9AA17" w:rsidRDefault="79A9AA17" w14:paraId="08F49DD3" w14:textId="61E830E8">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visual tool that&amp;#39;s essential for advanced math and science classes. In</w:t>
            </w:r>
          </w:p>
          <w:p w:rsidR="79A9AA17" w:rsidP="79A9AA17" w:rsidRDefault="79A9AA17" w14:paraId="5002FD42" w14:textId="69727571">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calculus, students can instantly graph complex functions, look at slopes,</w:t>
            </w:r>
          </w:p>
          <w:p w:rsidR="79A9AA17" w:rsidP="79A9AA17" w:rsidRDefault="79A9AA17" w14:paraId="641C6B3B" w14:textId="09A04154">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and see integral areas, changing abstract ideas into pictures they can</w:t>
            </w:r>
          </w:p>
          <w:p w:rsidR="79A9AA17" w:rsidP="79A9AA17" w:rsidRDefault="79A9AA17" w14:paraId="3F123CD8" w14:textId="79D5E514">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understand. This immediate feedback loop allows for quick testing and</w:t>
            </w:r>
          </w:p>
          <w:p w:rsidR="79A9AA17" w:rsidP="79A9AA17" w:rsidRDefault="79A9AA17" w14:paraId="0EA0BDC6" w14:textId="5886B0CC">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trying out ideas, which is a core part of the scientific method. By letting</w:t>
            </w:r>
          </w:p>
          <w:p w:rsidR="79A9AA17" w:rsidP="79A9AA17" w:rsidRDefault="79A9AA17" w14:paraId="1466DE03" w14:textId="217D6326">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the calculator handle the mechanical work of plotting points, these tools</w:t>
            </w:r>
          </w:p>
          <w:p w:rsidR="79A9AA17" w:rsidP="79A9AA17" w:rsidRDefault="79A9AA17" w14:paraId="3543248E" w14:textId="63ECB35F">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empower students to explore mathematical relationships on a deep,</w:t>
            </w:r>
          </w:p>
          <w:p w:rsidR="79A9AA17" w:rsidP="79A9AA17" w:rsidRDefault="79A9AA17" w14:paraId="4FFBD270" w14:textId="35E72E83">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conceptual level that wasn&amp;#39;t possible before without big computer</w:t>
            </w:r>
          </w:p>
          <w:p w:rsidR="79A9AA17" w:rsidP="79A9AA17" w:rsidRDefault="79A9AA17" w14:paraId="2EB32BE1" w14:textId="500B5A59">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software.</w:t>
            </w:r>
          </w:p>
          <w:p w:rsidR="79A9AA17" w:rsidP="79A9AA17" w:rsidRDefault="79A9AA17" w14:paraId="344504FC" w14:textId="29B6E782">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The history of the calculator is really about making things easier, and its continuous use in the classroom</w:t>
            </w:r>
          </w:p>
          <w:p w:rsidR="79A9AA17" w:rsidP="79A9AA17" w:rsidRDefault="79A9AA17" w14:paraId="4B39800D" w14:textId="6C11502C">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 xml:space="preserve"> </w:t>
            </w:r>
          </w:p>
          <w:p w:rsidR="79A9AA17" w:rsidP="79A9AA17" w:rsidRDefault="79A9AA17" w14:paraId="76F065FB" w14:textId="2E12B3E7">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shows how teaching goals have changed. The calculator doesn&amp;#39;t take away from core knowledge; it&amp;#39;s a</w:t>
            </w:r>
          </w:p>
          <w:p w:rsidR="79A9AA17" w:rsidP="79A9AA17" w:rsidRDefault="79A9AA17" w14:paraId="5E6FC35D" w14:textId="38ADD4F4">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tool that speeds up thinking, streamlining computation so that the real learning—critical thinking, spotting</w:t>
            </w:r>
          </w:p>
          <w:p w:rsidR="79A9AA17" w:rsidP="79A9AA17" w:rsidRDefault="79A9AA17" w14:paraId="6CC7DC2B" w14:textId="173D8397">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patterns, and really understanding the ideas—can be the focus. As technology keeps getting better, the</w:t>
            </w:r>
          </w:p>
          <w:p w:rsidR="79A9AA17" w:rsidP="79A9AA17" w:rsidRDefault="79A9AA17" w14:paraId="6FEB4DB4" w14:textId="17788D19">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0"/>
                <w:iCs w:val="0"/>
                <w:caps w:val="0"/>
                <w:smallCaps w:val="0"/>
                <w:color w:val="8A7760"/>
                <w:sz w:val="18"/>
                <w:szCs w:val="18"/>
                <w:lang w:val="en-US"/>
              </w:rPr>
              <w:t>calculator will always be a critical bridge between classroom ideas and how we use them in real life.</w:t>
            </w:r>
          </w:p>
          <w:p w:rsidR="79A9AA17" w:rsidP="79A9AA17" w:rsidRDefault="79A9AA17" w14:paraId="210D7B22" w14:textId="307231D5">
            <w:pPr>
              <w:rPr>
                <w:rFonts w:ascii="Sylfaen" w:hAnsi="Sylfaen" w:eastAsia="Sylfaen" w:cs="Sylfaen"/>
                <w:b w:val="0"/>
                <w:bCs w:val="0"/>
                <w:i w:val="0"/>
                <w:iCs w:val="0"/>
                <w:caps w:val="0"/>
                <w:smallCaps w:val="0"/>
                <w:color w:val="8A7760"/>
                <w:sz w:val="18"/>
                <w:szCs w:val="18"/>
              </w:rPr>
            </w:pPr>
          </w:p>
          <w:p w:rsidR="79A9AA17" w:rsidP="79A9AA17" w:rsidRDefault="79A9AA17" w14:paraId="2BD53525" w14:textId="3623E985">
            <w:pPr>
              <w:rPr>
                <w:rFonts w:ascii="Sylfaen" w:hAnsi="Sylfaen" w:eastAsia="Sylfaen" w:cs="Sylfaen"/>
                <w:b w:val="0"/>
                <w:bCs w:val="0"/>
                <w:i w:val="0"/>
                <w:iCs w:val="0"/>
                <w:caps w:val="0"/>
                <w:smallCaps w:val="0"/>
                <w:color w:val="8A7760"/>
                <w:sz w:val="18"/>
                <w:szCs w:val="18"/>
              </w:rPr>
            </w:pPr>
          </w:p>
          <w:p w:rsidR="79A9AA17" w:rsidP="79A9AA17" w:rsidRDefault="79A9AA17" w14:paraId="34A68A39" w14:textId="674FE703">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1"/>
                <w:iCs w:val="1"/>
                <w:caps w:val="0"/>
                <w:smallCaps w:val="0"/>
                <w:color w:val="8A7760"/>
                <w:sz w:val="18"/>
                <w:szCs w:val="18"/>
                <w:lang w:val="en-US"/>
              </w:rPr>
              <w:t>Works Cited</w:t>
            </w:r>
          </w:p>
          <w:p w:rsidR="79A9AA17" w:rsidP="79A9AA17" w:rsidRDefault="79A9AA17" w14:paraId="7D473164" w14:textId="312F483B">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1"/>
                <w:iCs w:val="1"/>
                <w:caps w:val="0"/>
                <w:smallCaps w:val="0"/>
                <w:color w:val="8A7760"/>
                <w:sz w:val="18"/>
                <w:szCs w:val="18"/>
                <w:lang w:val="en-US"/>
              </w:rPr>
              <w:t>Jones, David L. “The Great Calculator Debate.” Journal of Modern Education, vol. 12, no. 2,</w:t>
            </w:r>
          </w:p>
          <w:p w:rsidR="79A9AA17" w:rsidP="79A9AA17" w:rsidRDefault="79A9AA17" w14:paraId="3D1D96A9" w14:textId="53CC9C6C">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1"/>
                <w:iCs w:val="1"/>
                <w:caps w:val="0"/>
                <w:smallCaps w:val="0"/>
                <w:color w:val="8A7760"/>
                <w:sz w:val="18"/>
                <w:szCs w:val="18"/>
                <w:lang w:val="en-US"/>
              </w:rPr>
              <w:t>2019, pp. 203−215.</w:t>
            </w:r>
          </w:p>
          <w:p w:rsidR="79A9AA17" w:rsidP="79A9AA17" w:rsidRDefault="79A9AA17" w14:paraId="488B7CFD" w14:textId="1076040E">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1"/>
                <w:iCs w:val="1"/>
                <w:caps w:val="0"/>
                <w:smallCaps w:val="0"/>
                <w:color w:val="8A7760"/>
                <w:sz w:val="18"/>
                <w:szCs w:val="18"/>
                <w:lang w:val="en-US"/>
              </w:rPr>
              <w:t>Smith, Alan</w:t>
            </w:r>
            <w:r w:rsidRPr="79A9AA17" w:rsidR="79A9AA17">
              <w:rPr>
                <w:rStyle w:val="BrownArticleSubtitle"/>
                <w:rFonts w:ascii="Sylfaen" w:hAnsi="Sylfaen" w:eastAsia="Sylfaen" w:cs="Sylfaen"/>
                <w:b w:val="0"/>
                <w:bCs w:val="0"/>
                <w:i w:val="0"/>
                <w:iCs w:val="0"/>
                <w:caps w:val="0"/>
                <w:smallCaps w:val="0"/>
                <w:color w:val="8A7760"/>
                <w:sz w:val="18"/>
                <w:szCs w:val="18"/>
                <w:lang w:val="en-US"/>
              </w:rPr>
              <w:t xml:space="preserve"> </w:t>
            </w:r>
            <w:r w:rsidRPr="79A9AA17" w:rsidR="79A9AA17">
              <w:rPr>
                <w:rStyle w:val="BrownArticleSubtitle"/>
                <w:rFonts w:ascii="Sylfaen" w:hAnsi="Sylfaen" w:eastAsia="Sylfaen" w:cs="Sylfaen"/>
                <w:b w:val="0"/>
                <w:bCs w:val="0"/>
                <w:i w:val="1"/>
                <w:iCs w:val="1"/>
                <w:caps w:val="0"/>
                <w:smallCaps w:val="0"/>
                <w:color w:val="8A7760"/>
                <w:sz w:val="18"/>
                <w:szCs w:val="18"/>
                <w:lang w:val="en-US"/>
              </w:rPr>
              <w:t>P. A History of Computational Devices: From Abacus to AI. University Press of</w:t>
            </w:r>
          </w:p>
          <w:p w:rsidR="79A9AA17" w:rsidP="79A9AA17" w:rsidRDefault="79A9AA17" w14:paraId="5D04DE9E" w14:textId="5F15F7F5">
            <w:pPr>
              <w:rPr>
                <w:rFonts w:ascii="Sylfaen" w:hAnsi="Sylfaen" w:eastAsia="Sylfaen" w:cs="Sylfaen"/>
                <w:b w:val="0"/>
                <w:bCs w:val="0"/>
                <w:i w:val="0"/>
                <w:iCs w:val="0"/>
                <w:caps w:val="0"/>
                <w:smallCaps w:val="0"/>
                <w:color w:val="8A7760"/>
                <w:sz w:val="18"/>
                <w:szCs w:val="18"/>
              </w:rPr>
            </w:pPr>
            <w:r w:rsidRPr="79A9AA17" w:rsidR="79A9AA17">
              <w:rPr>
                <w:rStyle w:val="BrownArticleSubtitle"/>
                <w:rFonts w:ascii="Sylfaen" w:hAnsi="Sylfaen" w:eastAsia="Sylfaen" w:cs="Sylfaen"/>
                <w:b w:val="0"/>
                <w:bCs w:val="0"/>
                <w:i w:val="1"/>
                <w:iCs w:val="1"/>
                <w:caps w:val="0"/>
                <w:smallCaps w:val="0"/>
                <w:color w:val="8A7760"/>
                <w:sz w:val="18"/>
                <w:szCs w:val="18"/>
                <w:lang w:val="en-US"/>
              </w:rPr>
              <w:t>America, 2023.</w:t>
            </w:r>
          </w:p>
        </w:tc>
      </w:tr>
    </w:tbl>
    <w:p w:rsidR="79A9AA17" w:rsidRDefault="79A9AA17" w14:paraId="37EB7205" w14:textId="1C6D1F08"/>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8C8F5"/>
    <w:rsid w:val="06D8C8F5"/>
    <w:rsid w:val="1D913FBD"/>
    <w:rsid w:val="5C4B68C0"/>
    <w:rsid w:val="7387F683"/>
    <w:rsid w:val="77984DFF"/>
    <w:rsid w:val="79A9A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8C8F5"/>
  <w15:chartTrackingRefBased/>
  <w15:docId w15:val="{1AF27714-9C50-435C-97BB-083F09F612BA}"/>
  <w:displayBackgroundShap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MastheadTitle" w:customStyle="true">
    <w:uiPriority w:val="1"/>
    <w:name w:val="Masthead Title"/>
    <w:basedOn w:val="Normal"/>
    <w:qFormat/>
    <w:rsid w:val="79A9AA17"/>
    <w:rPr>
      <w:rFonts w:ascii="Sylfaen" w:hAnsi="Sylfaen" w:eastAsia="Euphemia" w:cs="" w:asciiTheme="majorAscii" w:hAnsiTheme="majorAscii" w:eastAsiaTheme="minorAscii" w:cstheme="minorBidi"/>
      <w:b w:val="1"/>
      <w:bCs w:val="1"/>
      <w:noProof/>
      <w:color w:val="5F645C"/>
      <w:sz w:val="144"/>
      <w:szCs w:val="144"/>
    </w:rPr>
    <w:pPr>
      <w:spacing w:after="0" w:line="240" w:lineRule="auto"/>
      <w:jc w:val="center"/>
    </w:pPr>
  </w:style>
  <w:style w:type="paragraph" w:styleId="MastheadSubtitle" w:customStyle="true">
    <w:uiPriority w:val="1"/>
    <w:name w:val="Masthead Subtitle"/>
    <w:basedOn w:val="Normal"/>
    <w:qFormat/>
    <w:rsid w:val="79A9AA17"/>
    <w:rPr>
      <w:rFonts w:ascii="Euphemia" w:hAnsi="Euphemia" w:eastAsia="Euphemia" w:cs="Arial" w:asciiTheme="minorAscii" w:hAnsiTheme="minorAscii" w:eastAsiaTheme="minorAscii" w:cstheme="minorBidi"/>
      <w:color w:val="5F645C"/>
      <w:sz w:val="28"/>
      <w:szCs w:val="28"/>
    </w:rPr>
    <w:pPr>
      <w:spacing w:after="0" w:line="240" w:lineRule="auto"/>
      <w:jc w:val="center"/>
    </w:pPr>
  </w:style>
  <w:style w:type="paragraph" w:styleId="OlivePictureCaption" w:customStyle="true">
    <w:uiPriority w:val="1"/>
    <w:name w:val="Olive Picture Caption"/>
    <w:basedOn w:val="Normal"/>
    <w:qFormat/>
    <w:rsid w:val="79A9AA17"/>
    <w:rPr>
      <w:rFonts w:ascii="Euphemia" w:hAnsi="Euphemia" w:eastAsia="Euphemia" w:cs="" w:asciiTheme="minorAscii" w:hAnsiTheme="minorAscii" w:eastAsiaTheme="minorAscii" w:cstheme="minorBidi"/>
      <w:color w:val="5F645C"/>
      <w:sz w:val="18"/>
      <w:szCs w:val="18"/>
    </w:rPr>
    <w:pPr>
      <w:spacing w:after="0" w:line="240" w:lineRule="auto"/>
    </w:pPr>
  </w:style>
  <w:style w:type="character" w:styleId="BrownArticleTitle" w:customStyle="true">
    <w:uiPriority w:val="1"/>
    <w:name w:val="Brown Article Title"/>
    <w:basedOn w:val="DefaultParagraphFont"/>
    <w:rsid w:val="79A9AA17"/>
    <w:rPr>
      <w:rFonts w:ascii="Sylfaen" w:hAnsi="Sylfaen" w:eastAsia="Euphemia" w:cs="" w:asciiTheme="majorAscii" w:hAnsiTheme="majorAscii" w:eastAsiaTheme="minorAscii" w:cstheme="minorBidi"/>
      <w:b w:val="1"/>
      <w:bCs w:val="1"/>
      <w:noProof/>
      <w:color w:val="8A7760"/>
      <w:sz w:val="72"/>
      <w:szCs w:val="72"/>
    </w:rPr>
  </w:style>
  <w:style w:type="character" w:styleId="BrownAuthorName" w:customStyle="true">
    <w:uiPriority w:val="1"/>
    <w:name w:val="Brown Author Name"/>
    <w:basedOn w:val="DefaultParagraphFont"/>
    <w:rsid w:val="79A9AA17"/>
    <w:rPr>
      <w:rFonts w:ascii="Euphemia" w:hAnsi="Euphemia" w:eastAsia="Euphemia" w:cs="" w:asciiTheme="minorAscii" w:hAnsiTheme="minorAscii" w:eastAsiaTheme="minorAscii" w:cstheme="minorBidi"/>
      <w:b w:val="1"/>
      <w:bCs w:val="1"/>
      <w:caps w:val="1"/>
      <w:color w:val="8A7760"/>
      <w:sz w:val="24"/>
      <w:szCs w:val="24"/>
    </w:rPr>
  </w:style>
  <w:style w:type="paragraph" w:styleId="BrownBodyCopy" w:customStyle="true">
    <w:uiPriority w:val="1"/>
    <w:name w:val="Brown Body Copy"/>
    <w:basedOn w:val="Normal"/>
    <w:qFormat/>
    <w:rsid w:val="79A9AA17"/>
    <w:rPr>
      <w:rFonts w:ascii="Euphemia" w:hAnsi="Euphemia" w:eastAsia="Euphemia" w:cs="" w:asciiTheme="minorAscii" w:hAnsiTheme="minorAscii" w:eastAsiaTheme="minorAscii" w:cstheme="minorBidi"/>
      <w:color w:val="8A7760"/>
      <w:sz w:val="22"/>
      <w:szCs w:val="22"/>
    </w:rPr>
    <w:pPr>
      <w:spacing w:after="0" w:line="240" w:lineRule="auto"/>
    </w:pPr>
  </w:style>
  <w:style w:type="character" w:styleId="BrownArticleSubtitle" w:customStyle="true">
    <w:uiPriority w:val="1"/>
    <w:name w:val="Brown Article Subtitle"/>
    <w:basedOn w:val="DefaultParagraphFont"/>
    <w:rsid w:val="79A9AA17"/>
    <w:rPr>
      <w:rFonts w:ascii="Sylfaen" w:hAnsi="Sylfaen" w:eastAsia="Euphemia" w:cs="Arial" w:asciiTheme="majorAscii" w:hAnsiTheme="majorAscii" w:eastAsiaTheme="minorAscii" w:cstheme="minorBidi"/>
      <w:noProof/>
      <w:color w:val="8A7760"/>
      <w:sz w:val="48"/>
      <w:szCs w:val="48"/>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Id1844481009"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2025-10-03T23:17:54.7283557Z</dcterms:created>
  <dcterms:modified xsi:type="dcterms:W3CDTF">2025-10-03T23:20:35.1705501Z</dcterms:modified>
  <dc:creator>Shrivastava, Trisha L</dc:creator>
  <lastModifiedBy>Shrivastava, Trisha L</lastModifiedBy>
</coreProperties>
</file>